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 Text"/>
      </w:pPr>
      <w:r>
        <w:rPr>
          <w:rtl w:val="0"/>
        </w:rPr>
        <w:t>Name of author</w:t>
      </w:r>
    </w:p>
    <w:p>
      <w:pPr>
        <w:pStyle w:val="Heading 1"/>
      </w:pPr>
      <w:r>
        <w:rPr>
          <w:rtl w:val="0"/>
        </w:rPr>
        <w:t>Title of submission</w:t>
      </w:r>
    </w:p>
    <w:p>
      <w:pPr>
        <w:pStyle w:val="Body Text"/>
      </w:pPr>
      <w:r>
        <w:rPr>
          <w:rtl w:val="0"/>
        </w:rPr>
        <w:t>Subtitle</w:t>
      </w:r>
    </w:p>
    <w:p>
      <w:pPr>
        <w:pStyle w:val="Normal.0"/>
      </w:pPr>
    </w:p>
    <w:p>
      <w:pPr>
        <w:pStyle w:val="Heading 1"/>
      </w:pPr>
      <w:r>
        <w:rPr>
          <w:rtl w:val="0"/>
        </w:rPr>
        <w:t>Topic</w:t>
      </w:r>
    </w:p>
    <w:p>
      <w:pPr>
        <w:pStyle w:val="Normal.0"/>
      </w:pPr>
      <w:r>
        <w:rPr>
          <w:rtl w:val="0"/>
        </w:rPr>
        <w:t xml:space="preserve">Please insert your text here using the option </w:t>
      </w:r>
      <w:r>
        <w:rPr>
          <w:rtl w:val="0"/>
        </w:rPr>
        <w:t>« </w:t>
      </w:r>
      <w:r>
        <w:rPr>
          <w:rtl w:val="0"/>
        </w:rPr>
        <w:t>only insert text</w:t>
      </w:r>
      <w:r>
        <w:rPr>
          <w:rtl w:val="0"/>
        </w:rPr>
        <w:t> »</w:t>
      </w:r>
      <w:r>
        <w:rPr>
          <w:rtl w:val="0"/>
        </w:rPr>
        <w:t xml:space="preserve">. Please adapt your footnotes tot the following examples: </w:t>
      </w:r>
    </w:p>
    <w:p>
      <w:pPr>
        <w:pStyle w:val="Normal.0"/>
      </w:pPr>
      <w:r>
        <w:rPr>
          <w:rtl w:val="0"/>
        </w:rPr>
        <w:t>Monographs, first occurrence,</w:t>
      </w:r>
      <w:r>
        <w:rPr>
          <w:rStyle w:val="Endnote Reference"/>
          <w:rFonts w:ascii="Arial" w:cs="Arial" w:hAnsi="Arial" w:eastAsia="Arial"/>
          <w:b w:val="0"/>
          <w:bCs w:val="0"/>
          <w:i w:val="0"/>
          <w:iCs w:val="0"/>
        </w:rPr>
        <w:endnoteReference w:id="1"/>
      </w:r>
      <w:r>
        <w:rPr>
          <w:rtl w:val="0"/>
        </w:rPr>
        <w:t xml:space="preserve"> following occurrences.</w:t>
      </w:r>
      <w:r>
        <w:rPr>
          <w:rStyle w:val="Endnote Reference"/>
          <w:rFonts w:ascii="Arial" w:cs="Arial" w:hAnsi="Arial" w:eastAsia="Arial"/>
          <w:b w:val="0"/>
          <w:bCs w:val="0"/>
          <w:i w:val="0"/>
          <w:iCs w:val="0"/>
        </w:rPr>
        <w:endnoteReference w:id="2"/>
      </w:r>
      <w:r>
        <w:rPr>
          <w:rtl w:val="0"/>
        </w:rPr>
        <w:t xml:space="preserve"> Catalogues, first occurrence,</w:t>
      </w:r>
      <w:r>
        <w:rPr>
          <w:rStyle w:val="Endnote Reference"/>
          <w:rFonts w:ascii="Arial" w:cs="Arial" w:hAnsi="Arial" w:eastAsia="Arial"/>
          <w:b w:val="0"/>
          <w:bCs w:val="0"/>
          <w:i w:val="0"/>
          <w:iCs w:val="0"/>
        </w:rPr>
        <w:endnoteReference w:id="3"/>
      </w:r>
      <w:r>
        <w:rPr>
          <w:rtl w:val="0"/>
        </w:rPr>
        <w:t xml:space="preserve"> following occurrences.</w:t>
      </w:r>
      <w:r>
        <w:rPr>
          <w:rStyle w:val="Endnote Reference"/>
          <w:rFonts w:ascii="Arial" w:cs="Arial" w:hAnsi="Arial" w:eastAsia="Arial"/>
          <w:b w:val="0"/>
          <w:bCs w:val="0"/>
          <w:i w:val="0"/>
          <w:iCs w:val="0"/>
        </w:rPr>
        <w:endnoteReference w:id="4"/>
      </w:r>
      <w:r>
        <w:rPr>
          <w:rtl w:val="0"/>
        </w:rPr>
        <w:t xml:space="preserve"> Articles in anthologies, first occurrence,</w:t>
      </w:r>
      <w:r>
        <w:rPr>
          <w:rStyle w:val="Endnote Reference"/>
          <w:rFonts w:ascii="Arial" w:cs="Arial" w:hAnsi="Arial" w:eastAsia="Arial"/>
          <w:b w:val="0"/>
          <w:bCs w:val="0"/>
          <w:i w:val="0"/>
          <w:iCs w:val="0"/>
        </w:rPr>
        <w:endnoteReference w:id="5"/>
      </w:r>
      <w:r>
        <w:rPr>
          <w:rtl w:val="0"/>
        </w:rPr>
        <w:t xml:space="preserve"> following occurrences.</w:t>
      </w:r>
      <w:r>
        <w:rPr>
          <w:rStyle w:val="Endnote Reference"/>
          <w:rFonts w:ascii="Arial" w:cs="Arial" w:hAnsi="Arial" w:eastAsia="Arial"/>
          <w:b w:val="0"/>
          <w:bCs w:val="0"/>
          <w:i w:val="0"/>
          <w:iCs w:val="0"/>
        </w:rPr>
        <w:endnoteReference w:id="6"/>
      </w:r>
      <w:r>
        <w:rPr>
          <w:rtl w:val="0"/>
        </w:rPr>
        <w:t xml:space="preserve"> Journal articles, first occurrence,</w:t>
      </w:r>
      <w:r>
        <w:rPr>
          <w:rStyle w:val="Endnote Reference"/>
          <w:rFonts w:ascii="Arial" w:cs="Arial" w:hAnsi="Arial" w:eastAsia="Arial"/>
          <w:b w:val="0"/>
          <w:bCs w:val="0"/>
          <w:i w:val="0"/>
          <w:iCs w:val="0"/>
        </w:rPr>
        <w:endnoteReference w:id="7"/>
      </w:r>
      <w:r>
        <w:rPr>
          <w:rtl w:val="0"/>
        </w:rPr>
        <w:t xml:space="preserve"> following occurrences.</w:t>
      </w:r>
      <w:r>
        <w:rPr>
          <w:rStyle w:val="Endnote Reference"/>
          <w:rFonts w:ascii="Arial" w:cs="Arial" w:hAnsi="Arial" w:eastAsia="Arial"/>
          <w:b w:val="0"/>
          <w:bCs w:val="0"/>
          <w:i w:val="0"/>
          <w:iCs w:val="0"/>
        </w:rPr>
        <w:endnoteReference w:id="8"/>
      </w:r>
      <w:r>
        <w:rPr>
          <w:rtl w:val="0"/>
        </w:rPr>
        <w:t xml:space="preserve"> </w:t>
      </w:r>
      <w:r>
        <w:rPr>
          <w:rtl w:val="0"/>
        </w:rPr>
        <w:t xml:space="preserve">Online </w:t>
      </w:r>
      <w:r>
        <w:rPr>
          <w:rtl w:val="0"/>
        </w:rPr>
        <w:t>ressources, first occurrence,</w:t>
      </w:r>
      <w:r>
        <w:rPr>
          <w:rStyle w:val="Endnote Reference"/>
          <w:rFonts w:ascii="Arial" w:cs="Arial" w:hAnsi="Arial" w:eastAsia="Arial"/>
          <w:b w:val="0"/>
          <w:bCs w:val="0"/>
          <w:i w:val="0"/>
          <w:iCs w:val="0"/>
        </w:rPr>
        <w:endnoteReference w:id="9"/>
      </w:r>
      <w:r>
        <w:rPr>
          <w:rtl w:val="0"/>
        </w:rPr>
        <w:t xml:space="preserve"> following occurrences.</w:t>
      </w:r>
      <w:r>
        <w:rPr>
          <w:rStyle w:val="Endnote Reference"/>
          <w:rFonts w:ascii="Arial" w:cs="Arial" w:hAnsi="Arial" w:eastAsia="Arial"/>
          <w:b w:val="0"/>
          <w:bCs w:val="0"/>
          <w:i w:val="0"/>
          <w:iCs w:val="0"/>
        </w:rPr>
        <w:endnoteReference w:id="10"/>
      </w:r>
    </w:p>
    <w:p>
      <w:pPr>
        <w:pStyle w:val="Normal.0"/>
      </w:pPr>
      <w:r>
        <w:rPr>
          <w:rtl w:val="0"/>
        </w:rPr>
        <w:t>Please pay attention to the usage of hyphen (- to break single words or join separate words), em dash (</w:t>
      </w:r>
      <w:r>
        <w:rPr>
          <w:rtl w:val="0"/>
        </w:rPr>
        <w:t>—</w:t>
      </w:r>
      <w:r>
        <w:rPr>
          <w:rtl w:val="0"/>
        </w:rPr>
        <w:t xml:space="preserve"> for </w:t>
      </w:r>
      <w:r>
        <w:rPr>
          <w:rtl w:val="0"/>
        </w:rPr>
        <w:t>a break in a sentence or to set off parenthetical statements</w:t>
      </w:r>
      <w:r>
        <w:rPr>
          <w:rtl w:val="0"/>
        </w:rPr>
        <w:t>) and en dash (to indicate spans: p. 27</w:t>
      </w:r>
      <w:r>
        <w:rPr>
          <w:rtl w:val="0"/>
        </w:rPr>
        <w:t>–</w:t>
      </w:r>
      <w:r>
        <w:rPr>
          <w:rtl w:val="0"/>
        </w:rPr>
        <w:t>28).</w:t>
      </w:r>
    </w:p>
    <w:p>
      <w:pPr>
        <w:pStyle w:val="Heading 1"/>
      </w:pPr>
      <w:r>
        <w:rPr>
          <w:rtl w:val="0"/>
        </w:rPr>
        <w:t>Illustrations</w:t>
      </w:r>
    </w:p>
    <w:p>
      <w:pPr>
        <w:pStyle w:val="Normal.0"/>
      </w:pPr>
      <w:r>
        <w:rPr>
          <w:rtl w:val="0"/>
        </w:rPr>
        <w:t>Ill</w:t>
      </w:r>
      <w:r>
        <w:rPr>
          <w:rtl w:val="0"/>
        </w:rPr>
        <w:t xml:space="preserve">. 1: Robert Mangold, Red with Green Ellipse/Grey Frame, 1989, </w:t>
      </w:r>
      <w:r>
        <w:rPr>
          <w:rtl w:val="0"/>
        </w:rPr>
        <w:t>a</w:t>
      </w:r>
      <w:r>
        <w:rPr>
          <w:rtl w:val="0"/>
        </w:rPr>
        <w:t xml:space="preserve">cryl </w:t>
      </w:r>
      <w:r>
        <w:rPr>
          <w:rtl w:val="0"/>
        </w:rPr>
        <w:t>and</w:t>
      </w:r>
      <w:r>
        <w:rPr>
          <w:rtl w:val="0"/>
        </w:rPr>
        <w:t xml:space="preserve"> </w:t>
      </w:r>
      <w:r>
        <w:rPr>
          <w:rtl w:val="0"/>
        </w:rPr>
        <w:t>pencil on canvas</w:t>
      </w:r>
      <w:r>
        <w:rPr>
          <w:rtl w:val="0"/>
        </w:rPr>
        <w:t>, 279</w:t>
      </w:r>
      <w:r>
        <w:rPr>
          <w:rtl w:val="0"/>
        </w:rPr>
        <w:t>.</w:t>
      </w:r>
      <w:r>
        <w:rPr>
          <w:rtl w:val="0"/>
        </w:rPr>
        <w:t xml:space="preserve">5 </w:t>
      </w:r>
      <w:r>
        <w:rPr>
          <w:rtl w:val="0"/>
        </w:rPr>
        <w:t xml:space="preserve">× </w:t>
      </w:r>
      <w:r>
        <w:rPr>
          <w:rtl w:val="0"/>
        </w:rPr>
        <w:t>429 cm, Maastricht, Bonnefantenmuseum.</w:t>
      </w:r>
    </w:p>
    <w:p>
      <w:pPr>
        <w:pStyle w:val="Heading 1"/>
        <w:rPr>
          <w:lang w:val="en-US"/>
        </w:rPr>
      </w:pPr>
      <w:r>
        <w:rPr>
          <w:rtl w:val="0"/>
          <w:lang w:val="en-US"/>
        </w:rPr>
        <w:t>Sources</w:t>
      </w:r>
    </w:p>
    <w:p>
      <w:pPr>
        <w:pStyle w:val="Normal.0"/>
      </w:pPr>
      <w:r>
        <w:rPr>
          <w:rtl w:val="0"/>
          <w:lang w:val="en-US"/>
        </w:rPr>
        <w:t>Ill</w:t>
      </w:r>
      <w:r>
        <w:rPr>
          <w:rtl w:val="0"/>
          <w:lang w:val="en-US"/>
        </w:rPr>
        <w:t xml:space="preserve">. 1: Richard Shiff </w:t>
      </w:r>
      <w:r>
        <w:rPr>
          <w:rtl w:val="0"/>
          <w:lang w:val="en-US"/>
        </w:rPr>
        <w:t>(ed</w:t>
      </w:r>
      <w:r>
        <w:rPr>
          <w:rtl w:val="0"/>
          <w:lang w:val="en-US"/>
        </w:rPr>
        <w:t xml:space="preserve">.), Robert Mangold, London 2000, </w:t>
      </w:r>
      <w:r>
        <w:rPr>
          <w:rtl w:val="0"/>
          <w:lang w:val="en-US"/>
        </w:rPr>
        <w:t>p</w:t>
      </w:r>
      <w:r>
        <w:rPr>
          <w:rtl w:val="0"/>
          <w:lang w:val="en-US"/>
        </w:rPr>
        <w:t>. 249.</w:t>
      </w:r>
    </w:p>
    <w:sectPr>
      <w:headerReference w:type="default" r:id="rId4"/>
      <w:footerReference w:type="default" r:id="rId5"/>
      <w:pgSz w:w="11900" w:h="16840" w:orient="portrait"/>
      <w:pgMar w:top="1417" w:right="1417" w:bottom="1134" w:left="1417" w:header="708" w:footer="708"/>
      <w:bidi w:val="0"/>
    </w:sectPr>
  </w:body>
</w:document>
</file>

<file path=word/endnotes.xml><?xml version="1.0" encoding="utf-8"?>
<w:endnotes xmlns:w="http://schemas.openxmlformats.org/wordprocessingml/2006/main" xmlns:r="http://schemas.openxmlformats.org/officeDocument/2006/relationships" xmlns:w14="http://schemas.microsoft.com/office/word/2010/wordml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  <w:endnote w:type="continuationNotice" w:id="-2">
    <w:p>
      <w:r>
        <w:t/>
      </w:r>
    </w:p>
  </w:endnote>
  <w:endnote w:id="1">
    <w:p>
      <w:pPr>
        <w:pStyle w:val="Endnote Text"/>
        <w:spacing w:line="240" w:lineRule="auto"/>
      </w:pPr>
      <w:r>
        <w:rPr>
          <w:rStyle w:val="Endnote Reference"/>
        </w:rPr>
        <w:endnoteRef/>
      </w:r>
      <w:r>
        <w:rPr>
          <w:rtl w:val="0"/>
          <w:lang w:val="de-DE"/>
        </w:rPr>
        <w:t xml:space="preserve"> Michael Fried, Absorption and Theatricality: Painting and Beholder in the Age of Diderot. Chicago 1980, p. 23.</w:t>
      </w:r>
    </w:p>
  </w:endnote>
  <w:endnote w:id="2">
    <w:p>
      <w:pPr>
        <w:pStyle w:val="Endnote Text"/>
        <w:spacing w:line="240" w:lineRule="auto"/>
      </w:pPr>
      <w:r>
        <w:rPr>
          <w:rStyle w:val="Endnote Reference"/>
        </w:rPr>
        <w:endnoteRef/>
      </w:r>
      <w:r>
        <w:rPr>
          <w:rtl w:val="0"/>
          <w:lang w:val="de-DE"/>
        </w:rPr>
        <w:t xml:space="preserve"> Fried 1980, </w:t>
      </w:r>
      <w:r>
        <w:rPr>
          <w:rtl w:val="0"/>
          <w:lang w:val="de-DE"/>
        </w:rPr>
        <w:t>p</w:t>
      </w:r>
      <w:r>
        <w:rPr>
          <w:rtl w:val="0"/>
          <w:lang w:val="de-DE"/>
        </w:rPr>
        <w:t>. 45.</w:t>
      </w:r>
    </w:p>
  </w:endnote>
  <w:endnote w:id="3">
    <w:p>
      <w:pPr>
        <w:pStyle w:val="Endnote Text"/>
        <w:spacing w:line="240" w:lineRule="auto"/>
      </w:pPr>
      <w:r>
        <w:rPr>
          <w:rStyle w:val="Endnote Reference"/>
        </w:rPr>
        <w:endnoteRef/>
      </w:r>
      <w:r>
        <w:rPr>
          <w:rtl w:val="0"/>
          <w:lang w:val="de-DE"/>
        </w:rPr>
        <w:t xml:space="preserve"> Kynaston McShine (ed.), Primary Structures: Younger American and British Sculptors (cat.), Jewish Museum: New York 1966, p. 23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31.</w:t>
      </w:r>
    </w:p>
  </w:endnote>
  <w:endnote w:id="4">
    <w:p>
      <w:pPr>
        <w:pStyle w:val="Endnote Text"/>
        <w:spacing w:line="240" w:lineRule="auto"/>
      </w:pPr>
      <w:r>
        <w:rPr>
          <w:rStyle w:val="Endnote Reference"/>
        </w:rPr>
        <w:endnoteRef/>
      </w:r>
      <w:r>
        <w:rPr>
          <w:rtl w:val="0"/>
          <w:lang w:val="de-DE"/>
        </w:rPr>
        <w:t xml:space="preserve"> McShine 1996, </w:t>
      </w:r>
      <w:r>
        <w:rPr>
          <w:rtl w:val="0"/>
          <w:lang w:val="de-DE"/>
        </w:rPr>
        <w:t>p</w:t>
      </w:r>
      <w:r>
        <w:rPr>
          <w:rtl w:val="0"/>
          <w:lang w:val="de-DE"/>
        </w:rPr>
        <w:t>. 49</w:t>
      </w:r>
      <w:r>
        <w:rPr>
          <w:rtl w:val="0"/>
          <w:lang w:val="de-DE"/>
        </w:rPr>
        <w:t>.</w:t>
      </w:r>
    </w:p>
  </w:endnote>
  <w:endnote w:id="5">
    <w:p>
      <w:pPr>
        <w:pStyle w:val="Endnote Text"/>
        <w:spacing w:line="240" w:lineRule="auto"/>
      </w:pPr>
      <w:r>
        <w:rPr>
          <w:rStyle w:val="Endnote Reference"/>
        </w:rPr>
        <w:endnoteRef/>
      </w:r>
      <w:r>
        <w:rPr>
          <w:rtl w:val="0"/>
          <w:lang w:val="de-DE"/>
        </w:rPr>
        <w:t xml:space="preserve"> Wolfgang Kemp, Narrative, in: Robert S. Nelson and Richard Shiff (eds.), Critical Terms for Art History. Second Edition, Chicago/London 2003, p. 62 </w:t>
      </w:r>
      <w:r>
        <w:rPr>
          <w:rtl w:val="0"/>
          <w:lang w:val="de-DE"/>
        </w:rPr>
        <w:t xml:space="preserve">– </w:t>
      </w:r>
      <w:r>
        <w:rPr>
          <w:rtl w:val="0"/>
          <w:lang w:val="de-DE"/>
        </w:rPr>
        <w:t>74.</w:t>
      </w:r>
    </w:p>
  </w:endnote>
  <w:endnote w:id="6">
    <w:p>
      <w:pPr>
        <w:pStyle w:val="Endnote Text"/>
        <w:spacing w:line="240" w:lineRule="auto"/>
      </w:pPr>
      <w:r>
        <w:rPr>
          <w:rStyle w:val="Endnote Reference"/>
        </w:rPr>
        <w:endnoteRef/>
      </w:r>
      <w:r>
        <w:rPr>
          <w:rtl w:val="0"/>
          <w:lang w:val="de-DE"/>
        </w:rPr>
        <w:t xml:space="preserve"> Kemp 2003, p. 69.</w:t>
      </w:r>
    </w:p>
  </w:endnote>
  <w:endnote w:id="7">
    <w:p>
      <w:pPr>
        <w:pStyle w:val="Endnote Text"/>
        <w:spacing w:line="240" w:lineRule="auto"/>
      </w:pPr>
      <w:r>
        <w:rPr>
          <w:rStyle w:val="Endnote Reference"/>
        </w:rPr>
        <w:endnoteRef/>
      </w:r>
      <w:r>
        <w:rPr>
          <w:rtl w:val="0"/>
          <w:lang w:val="de-DE"/>
        </w:rPr>
        <w:t xml:space="preserve"> Hal Foster, Archives of Modern Art, in: October, Vol. 99, Winter 2002, p. 85.</w:t>
      </w:r>
    </w:p>
  </w:endnote>
  <w:endnote w:id="8">
    <w:p>
      <w:pPr>
        <w:pStyle w:val="Endnote Text"/>
        <w:spacing w:line="240" w:lineRule="auto"/>
      </w:pPr>
      <w:r>
        <w:rPr>
          <w:rStyle w:val="Endnote Reference"/>
        </w:rPr>
        <w:endnoteRef/>
      </w:r>
      <w:r>
        <w:rPr>
          <w:rtl w:val="0"/>
          <w:lang w:val="de-DE"/>
        </w:rPr>
        <w:t xml:space="preserve"> Foster 2002, S. 90.</w:t>
      </w:r>
    </w:p>
  </w:endnote>
  <w:endnote w:id="9">
    <w:p>
      <w:pPr>
        <w:pStyle w:val="Endnote Text"/>
        <w:spacing w:line="240" w:lineRule="auto"/>
      </w:pPr>
      <w:r>
        <w:rPr>
          <w:rStyle w:val="Endnote Reference"/>
        </w:rPr>
        <w:endnoteRef/>
      </w:r>
      <w:r>
        <w:rPr>
          <w:rtl w:val="0"/>
          <w:lang w:val="de-DE"/>
        </w:rPr>
        <w:t xml:space="preserve"> Jesse Barron, Life Events: On Boyhood, in: n+1, June 20th, 2014. URL: https://nplusonemag.com/online-only/reviews/life-events/ [09.03.2015]</w:t>
      </w:r>
    </w:p>
  </w:endnote>
  <w:endnote w:id="10">
    <w:p>
      <w:pPr>
        <w:pStyle w:val="Endnote Text"/>
        <w:spacing w:line="240" w:lineRule="auto"/>
      </w:pPr>
      <w:r>
        <w:rPr>
          <w:rStyle w:val="Endnote Reference"/>
        </w:rPr>
        <w:endnoteRef/>
      </w:r>
      <w:r>
        <w:rPr>
          <w:rtl w:val="0"/>
          <w:lang w:val="de-DE"/>
        </w:rPr>
        <w:t xml:space="preserve"> Barron 2014.</w:t>
      </w:r>
    </w:p>
  </w:endnote>
</w:endnotes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9046"/>
        <w:tab w:val="clear" w:pos="9072"/>
      </w:tabs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endnotePr>
    <w:pos w:val="sectEnd"/>
    <w:numFmt w:val="lowerRoman"/>
    <w:numRestart w:val="continuous"/>
    <w:endnote w:id="-1"/>
    <w:endnote w:id="0"/>
    <w:endnote w:id="-2"/>
  </w:endnotePr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1"/>
      <w:bidi w:val="0"/>
      <w:spacing w:before="0" w:after="12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Heading 1">
    <w:name w:val="Heading 1"/>
    <w:next w:val="Normal.0"/>
    <w:pPr>
      <w:keepNext w:val="0"/>
      <w:keepLines w:val="0"/>
      <w:pageBreakBefore w:val="0"/>
      <w:widowControl w:val="1"/>
      <w:shd w:val="clear" w:color="auto" w:fill="auto"/>
      <w:tabs>
        <w:tab w:val="left" w:pos="432"/>
      </w:tabs>
      <w:suppressAutoHyphens w:val="1"/>
      <w:bidi w:val="0"/>
      <w:spacing w:before="360" w:after="120" w:line="360" w:lineRule="auto"/>
      <w:ind w:left="432" w:right="0" w:hanging="432"/>
      <w:jc w:val="both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36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de-DE"/>
    </w:rPr>
  </w:style>
  <w:style w:type="character" w:styleId="Endnote Reference">
    <w:name w:val="Endnote Reference"/>
    <w:rPr>
      <w:vertAlign w:val="superscript"/>
    </w:rPr>
  </w:style>
  <w:style w:type="paragraph" w:styleId="Endnote Text">
    <w:name w:val="Endnote Text"/>
    <w:next w:val="Endnote Tex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20" w:line="360" w:lineRule="auto"/>
      <w:ind w:left="0" w:right="0" w:firstLine="0"/>
      <w:jc w:val="both"/>
      <w:outlineLvl w:val="9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endnotes" Target="endnotes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